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楷体_GB2312" w:eastAsia="楷体_GB2312"/>
          <w:sz w:val="44"/>
          <w:szCs w:val="44"/>
        </w:rPr>
      </w:pPr>
      <w:r>
        <w:rPr>
          <w:rFonts w:hint="eastAsia" w:ascii="楷体_GB2312" w:eastAsia="楷体_GB2312"/>
          <w:sz w:val="44"/>
          <w:szCs w:val="44"/>
        </w:rPr>
        <w:t>教学随笔</w:t>
      </w:r>
    </w:p>
    <w:p>
      <w:pPr>
        <w:wordWrap w:val="0"/>
        <w:jc w:val="right"/>
        <w:rPr>
          <w:rFonts w:ascii="宋体" w:hAnsi="宋体"/>
          <w:sz w:val="28"/>
          <w:szCs w:val="28"/>
        </w:rPr>
      </w:pPr>
      <w:r>
        <w:rPr>
          <w:rFonts w:hint="eastAsia" w:ascii="宋体" w:hAnsi="宋体"/>
          <w:sz w:val="28"/>
          <w:szCs w:val="28"/>
        </w:rPr>
        <w:t xml:space="preserve">序号（ </w:t>
      </w:r>
      <w:r>
        <w:rPr>
          <w:rFonts w:hint="eastAsia" w:ascii="宋体" w:hAnsi="宋体"/>
          <w:sz w:val="28"/>
          <w:szCs w:val="28"/>
          <w:lang w:val="en-US" w:eastAsia="zh-CN"/>
        </w:rPr>
        <w:t xml:space="preserve">1 </w:t>
      </w:r>
      <w:r>
        <w:rPr>
          <w:rFonts w:hint="eastAsia" w:ascii="宋体" w:hAnsi="宋体"/>
          <w:sz w:val="28"/>
          <w:szCs w:val="28"/>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942"/>
        <w:gridCol w:w="872"/>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rPr>
                <w:rFonts w:hint="eastAsia" w:eastAsia="宋体"/>
                <w:sz w:val="28"/>
                <w:szCs w:val="28"/>
                <w:lang w:eastAsia="zh-CN"/>
              </w:rPr>
            </w:pPr>
            <w:r>
              <w:rPr>
                <w:rFonts w:hint="eastAsia"/>
                <w:sz w:val="28"/>
                <w:szCs w:val="28"/>
                <w:lang w:eastAsia="zh-CN"/>
              </w:rPr>
              <w:t>学校主课题</w:t>
            </w:r>
          </w:p>
        </w:tc>
        <w:tc>
          <w:tcPr>
            <w:tcW w:w="6841" w:type="dxa"/>
            <w:gridSpan w:val="3"/>
          </w:tcPr>
          <w:p>
            <w:pPr>
              <w:jc w:val="center"/>
              <w:rPr>
                <w:rFonts w:hint="eastAsia" w:eastAsia="宋体"/>
                <w:sz w:val="28"/>
                <w:szCs w:val="28"/>
                <w:lang w:eastAsia="zh-CN"/>
              </w:rPr>
            </w:pPr>
            <w:r>
              <w:rPr>
                <w:rFonts w:hint="eastAsia"/>
                <w:sz w:val="28"/>
                <w:szCs w:val="28"/>
                <w:lang w:eastAsia="zh-CN"/>
              </w:rPr>
              <w:t>基于“胡石予研究”的教师队伍建设策略的研究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rPr>
                <w:rFonts w:hint="eastAsia" w:eastAsia="宋体"/>
                <w:sz w:val="28"/>
                <w:szCs w:val="28"/>
                <w:lang w:eastAsia="zh-CN"/>
              </w:rPr>
            </w:pPr>
            <w:r>
              <w:rPr>
                <w:rFonts w:hint="eastAsia"/>
                <w:sz w:val="28"/>
                <w:szCs w:val="28"/>
                <w:lang w:eastAsia="zh-CN"/>
              </w:rPr>
              <w:t>个人课题</w:t>
            </w:r>
          </w:p>
        </w:tc>
        <w:tc>
          <w:tcPr>
            <w:tcW w:w="6841" w:type="dxa"/>
            <w:gridSpan w:val="3"/>
          </w:tcPr>
          <w:p>
            <w:pPr>
              <w:jc w:val="center"/>
              <w:rPr>
                <w:rFonts w:hint="eastAsia" w:eastAsia="宋体"/>
                <w:sz w:val="28"/>
                <w:szCs w:val="28"/>
                <w:lang w:eastAsia="zh-CN"/>
              </w:rPr>
            </w:pPr>
            <w:r>
              <w:rPr>
                <w:rFonts w:hint="eastAsia" w:eastAsia="宋体"/>
                <w:sz w:val="28"/>
                <w:szCs w:val="28"/>
                <w:lang w:eastAsia="zh-CN"/>
              </w:rPr>
              <w:t>小学英语教学中备课重要性之自我认识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rPr>
                <w:rFonts w:hint="eastAsia"/>
                <w:sz w:val="28"/>
                <w:szCs w:val="28"/>
                <w:lang w:eastAsia="zh-CN"/>
              </w:rPr>
            </w:pPr>
            <w:r>
              <w:rPr>
                <w:rFonts w:hint="eastAsia"/>
                <w:sz w:val="28"/>
                <w:szCs w:val="28"/>
                <w:lang w:eastAsia="zh-CN"/>
              </w:rPr>
              <w:t>主题</w:t>
            </w:r>
          </w:p>
        </w:tc>
        <w:tc>
          <w:tcPr>
            <w:tcW w:w="6841" w:type="dxa"/>
            <w:gridSpan w:val="3"/>
          </w:tcPr>
          <w:p>
            <w:pPr>
              <w:jc w:val="center"/>
              <w:rPr>
                <w:rFonts w:hint="eastAsia" w:eastAsia="宋体"/>
                <w:sz w:val="28"/>
                <w:szCs w:val="28"/>
                <w:lang w:eastAsia="zh-CN"/>
              </w:rPr>
            </w:pPr>
            <w:r>
              <w:rPr>
                <w:rFonts w:hint="eastAsia"/>
                <w:sz w:val="28"/>
                <w:szCs w:val="28"/>
                <w:lang w:eastAsia="zh-CN"/>
              </w:rPr>
              <w:t>教学随笔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81" w:type="dxa"/>
          </w:tcPr>
          <w:p>
            <w:pPr>
              <w:rPr>
                <w:sz w:val="28"/>
                <w:szCs w:val="28"/>
              </w:rPr>
            </w:pPr>
            <w:r>
              <w:rPr>
                <w:rFonts w:hint="eastAsia"/>
                <w:sz w:val="28"/>
                <w:szCs w:val="28"/>
              </w:rPr>
              <w:t>学科</w:t>
            </w:r>
          </w:p>
        </w:tc>
        <w:tc>
          <w:tcPr>
            <w:tcW w:w="2942" w:type="dxa"/>
          </w:tcPr>
          <w:p>
            <w:pPr>
              <w:jc w:val="center"/>
              <w:rPr>
                <w:rFonts w:hint="eastAsia" w:eastAsia="宋体"/>
                <w:sz w:val="28"/>
                <w:szCs w:val="28"/>
                <w:lang w:eastAsia="zh-CN"/>
              </w:rPr>
            </w:pPr>
            <w:r>
              <w:rPr>
                <w:rFonts w:hint="eastAsia"/>
                <w:sz w:val="28"/>
                <w:szCs w:val="28"/>
                <w:lang w:eastAsia="zh-CN"/>
              </w:rPr>
              <w:t>英语</w:t>
            </w:r>
          </w:p>
        </w:tc>
        <w:tc>
          <w:tcPr>
            <w:tcW w:w="872" w:type="dxa"/>
          </w:tcPr>
          <w:p>
            <w:pPr>
              <w:rPr>
                <w:sz w:val="28"/>
                <w:szCs w:val="28"/>
              </w:rPr>
            </w:pPr>
            <w:r>
              <w:rPr>
                <w:rFonts w:hint="eastAsia"/>
                <w:sz w:val="28"/>
                <w:szCs w:val="28"/>
              </w:rPr>
              <w:t>姓名</w:t>
            </w:r>
          </w:p>
        </w:tc>
        <w:tc>
          <w:tcPr>
            <w:tcW w:w="3027" w:type="dxa"/>
          </w:tcPr>
          <w:p>
            <w:pPr>
              <w:jc w:val="center"/>
              <w:rPr>
                <w:rFonts w:hint="eastAsia" w:eastAsia="宋体"/>
                <w:sz w:val="28"/>
                <w:szCs w:val="28"/>
                <w:lang w:eastAsia="zh-CN"/>
              </w:rPr>
            </w:pPr>
            <w:r>
              <w:rPr>
                <w:rFonts w:hint="eastAsia"/>
                <w:sz w:val="28"/>
                <w:szCs w:val="28"/>
                <w:lang w:eastAsia="zh-CN"/>
              </w:rPr>
              <w:t>王梦甜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0" w:hRule="atLeast"/>
        </w:trPr>
        <w:tc>
          <w:tcPr>
            <w:tcW w:w="8522" w:type="dxa"/>
            <w:gridSpan w:val="4"/>
          </w:tcPr>
          <w:p>
            <w:pPr>
              <w:rPr>
                <w:rFonts w:hint="eastAsia" w:eastAsia="宋体"/>
                <w:sz w:val="24"/>
                <w:szCs w:val="24"/>
                <w:lang w:eastAsia="zh-CN"/>
              </w:rPr>
            </w:pPr>
          </w:p>
          <w:p>
            <w:pPr>
              <w:rPr>
                <w:rFonts w:hint="eastAsia"/>
                <w:sz w:val="24"/>
                <w:szCs w:val="24"/>
                <w:lang w:val="en-US" w:eastAsia="zh-CN"/>
              </w:rPr>
            </w:pPr>
            <w:r>
              <w:rPr>
                <w:rFonts w:hint="eastAsia"/>
                <w:lang w:val="en-US" w:eastAsia="zh-CN"/>
              </w:rPr>
              <w:t xml:space="preserve">    </w:t>
            </w:r>
            <w:r>
              <w:rPr>
                <w:rFonts w:hint="eastAsia"/>
                <w:sz w:val="24"/>
                <w:szCs w:val="24"/>
                <w:lang w:val="en-US" w:eastAsia="zh-CN"/>
              </w:rPr>
              <w:t>有那么一段时间，我认为备课在教学中的作用一点也不重要，认为备课就是照着教师用书在那里抄抄写写，最后与课堂上进行的实际情况一点也不相符，感觉就像在做无用功。</w:t>
            </w:r>
          </w:p>
          <w:p>
            <w:pPr>
              <w:rPr>
                <w:rFonts w:hint="eastAsia"/>
                <w:sz w:val="24"/>
                <w:szCs w:val="24"/>
                <w:lang w:val="en-US" w:eastAsia="zh-CN"/>
              </w:rPr>
            </w:pPr>
          </w:p>
          <w:p>
            <w:pPr>
              <w:ind w:firstLine="480" w:firstLineChars="200"/>
              <w:rPr>
                <w:rFonts w:hint="eastAsia"/>
                <w:sz w:val="24"/>
                <w:szCs w:val="24"/>
                <w:lang w:val="en-US" w:eastAsia="zh-CN"/>
              </w:rPr>
            </w:pPr>
            <w:r>
              <w:rPr>
                <w:rFonts w:hint="eastAsia"/>
                <w:sz w:val="24"/>
                <w:szCs w:val="24"/>
                <w:lang w:val="en-US" w:eastAsia="zh-CN"/>
              </w:rPr>
              <w:t>后来，随着不断地学习与了解，这才发现自己的想法是大错特错，备课并不是抄抄写写的，而是要静心准备，从了解到深入，再到细细构思，备好一节课，相当于你的课已经成功了一大半。</w:t>
            </w:r>
          </w:p>
          <w:p>
            <w:pPr>
              <w:ind w:firstLine="480" w:firstLineChars="200"/>
              <w:rPr>
                <w:rFonts w:hint="eastAsia"/>
                <w:sz w:val="24"/>
                <w:szCs w:val="24"/>
                <w:lang w:val="en-US" w:eastAsia="zh-CN"/>
              </w:rPr>
            </w:pPr>
          </w:p>
          <w:p>
            <w:pPr>
              <w:ind w:firstLine="480" w:firstLineChars="200"/>
              <w:rPr>
                <w:rFonts w:hint="eastAsia"/>
                <w:sz w:val="24"/>
                <w:szCs w:val="24"/>
                <w:lang w:val="en-US" w:eastAsia="zh-CN"/>
              </w:rPr>
            </w:pPr>
            <w:r>
              <w:rPr>
                <w:rFonts w:hint="eastAsia"/>
                <w:sz w:val="24"/>
                <w:szCs w:val="24"/>
                <w:lang w:val="en-US" w:eastAsia="zh-CN"/>
              </w:rPr>
              <w:t>在备课的过程中，首先你在备课时必需认真研究分析学生的学习水平、接受能力、学习方法，以及学习风格和学习态度。由于这些方面大都与学生的思想状况和心理因素有关，因此，教师也必需研究分析学生的思想和心理状况。实践证明，即使平行的两个教学班的学生都有可能出现差异，因而往往这个班感到是难点的内容在另一个班就可能不一定是难点；同一项操练形式和内容在这个班练得冷冷清清，而在另一班却得到热烈的反响。在同一班级中，学生之间在上述的几个方面也存在着差异。所以说，“备学生”这一项内容是因材施教的客观依据。只有“吃透”学生这一头，教师才能使教案切合教学实际，有的放矢地进行教学，熟悉所教内容。</w:t>
            </w:r>
          </w:p>
          <w:p>
            <w:pPr>
              <w:ind w:firstLine="480" w:firstLineChars="200"/>
              <w:rPr>
                <w:rFonts w:hint="eastAsia"/>
                <w:sz w:val="24"/>
                <w:szCs w:val="24"/>
                <w:lang w:val="en-US" w:eastAsia="zh-CN"/>
              </w:rPr>
            </w:pPr>
          </w:p>
          <w:p>
            <w:pPr>
              <w:ind w:firstLine="480" w:firstLineChars="200"/>
              <w:rPr>
                <w:rFonts w:hint="eastAsia"/>
                <w:sz w:val="24"/>
                <w:szCs w:val="24"/>
                <w:lang w:val="en-US" w:eastAsia="zh-CN"/>
              </w:rPr>
            </w:pPr>
            <w:r>
              <w:rPr>
                <w:rFonts w:hint="eastAsia"/>
                <w:sz w:val="24"/>
                <w:szCs w:val="24"/>
                <w:lang w:val="en-US" w:eastAsia="zh-CN"/>
              </w:rPr>
              <w:t>其次是备教学内容，重要的是教学目标与重难点，教师上每一节课都要熟悉教材，明确教学目的与要求，我们只有目标明确，才知道朝着那个方向努力，我在平时的备课中，首先就是明确教学目标。 目标明确了，那么达到教学目标中的重难点是什么，我们应设计那些练习来突破难点，在备课时都要想到。做到心中有数，有备无患。最后是“备方法”，主要落实以下几点：</w:t>
            </w:r>
          </w:p>
          <w:p>
            <w:pPr>
              <w:ind w:firstLine="480" w:firstLineChars="200"/>
              <w:rPr>
                <w:rFonts w:hint="eastAsia"/>
                <w:sz w:val="24"/>
                <w:szCs w:val="24"/>
                <w:lang w:val="en-US" w:eastAsia="zh-CN"/>
              </w:rPr>
            </w:pPr>
          </w:p>
          <w:p>
            <w:pPr>
              <w:numPr>
                <w:ilvl w:val="0"/>
                <w:numId w:val="1"/>
              </w:numPr>
              <w:ind w:firstLine="480" w:firstLineChars="200"/>
              <w:rPr>
                <w:rFonts w:hint="eastAsia"/>
                <w:sz w:val="24"/>
                <w:szCs w:val="24"/>
                <w:lang w:val="en-US" w:eastAsia="zh-CN"/>
              </w:rPr>
            </w:pPr>
            <w:r>
              <w:rPr>
                <w:rFonts w:hint="eastAsia"/>
                <w:sz w:val="24"/>
                <w:szCs w:val="24"/>
                <w:lang w:val="en-US" w:eastAsia="zh-CN"/>
              </w:rPr>
              <w:t xml:space="preserve">在划分课时的基础上，确定每一课时的教学目的，选定教学模式。      </w:t>
            </w:r>
          </w:p>
          <w:p>
            <w:pPr>
              <w:numPr>
                <w:numId w:val="0"/>
              </w:numPr>
              <w:ind w:firstLine="480" w:firstLineChars="200"/>
              <w:rPr>
                <w:rFonts w:hint="eastAsia"/>
                <w:sz w:val="24"/>
                <w:szCs w:val="24"/>
                <w:lang w:val="en-US" w:eastAsia="zh-CN"/>
              </w:rPr>
            </w:pPr>
          </w:p>
          <w:p>
            <w:pPr>
              <w:numPr>
                <w:ilvl w:val="0"/>
                <w:numId w:val="1"/>
              </w:numPr>
              <w:ind w:firstLine="480" w:firstLineChars="200"/>
              <w:rPr>
                <w:rFonts w:hint="eastAsia"/>
                <w:sz w:val="24"/>
                <w:szCs w:val="24"/>
                <w:lang w:val="en-US" w:eastAsia="zh-CN"/>
              </w:rPr>
            </w:pPr>
            <w:r>
              <w:rPr>
                <w:rFonts w:hint="eastAsia"/>
                <w:sz w:val="24"/>
                <w:szCs w:val="24"/>
                <w:lang w:val="en-US" w:eastAsia="zh-CN"/>
              </w:rPr>
              <w:t>安排教学步骤，决定先教什么，后教什么。教学步骤不一定要按课本中各项内容的排列顺序，而是取决于新旧知识的联系和知识复现的规律。此外，学生的心理因素也是决定教学步骤的一个重要因素，要及时照顾到学生的好奇心和兴趣。</w:t>
            </w:r>
          </w:p>
          <w:p>
            <w:pPr>
              <w:widowControl w:val="0"/>
              <w:numPr>
                <w:numId w:val="0"/>
              </w:numPr>
              <w:jc w:val="both"/>
              <w:rPr>
                <w:rFonts w:hint="eastAsia"/>
                <w:sz w:val="24"/>
                <w:szCs w:val="24"/>
                <w:lang w:val="en-US" w:eastAsia="zh-CN"/>
              </w:rPr>
            </w:pPr>
          </w:p>
          <w:p>
            <w:pPr>
              <w:widowControl w:val="0"/>
              <w:numPr>
                <w:numId w:val="0"/>
              </w:numPr>
              <w:ind w:firstLine="420"/>
              <w:jc w:val="both"/>
              <w:rPr>
                <w:rFonts w:hint="eastAsia"/>
                <w:sz w:val="24"/>
                <w:szCs w:val="24"/>
                <w:lang w:val="en-US" w:eastAsia="zh-CN"/>
              </w:rPr>
            </w:pPr>
            <w:r>
              <w:rPr>
                <w:rFonts w:hint="eastAsia"/>
                <w:sz w:val="24"/>
                <w:szCs w:val="24"/>
                <w:lang w:val="en-US" w:eastAsia="zh-CN"/>
              </w:rPr>
              <w:t>3.设计呈现新内容的方案，其中最主要的一点是选准“突破口”，考虑如何以旧引新，以旧托新，使学生易于接受新内容。</w:t>
            </w:r>
          </w:p>
          <w:p>
            <w:pPr>
              <w:widowControl w:val="0"/>
              <w:numPr>
                <w:numId w:val="0"/>
              </w:numPr>
              <w:ind w:firstLine="420"/>
              <w:jc w:val="both"/>
              <w:rPr>
                <w:rFonts w:hint="eastAsia"/>
                <w:sz w:val="24"/>
                <w:szCs w:val="24"/>
                <w:lang w:val="en-US" w:eastAsia="zh-CN"/>
              </w:rPr>
            </w:pPr>
          </w:p>
          <w:p>
            <w:pPr>
              <w:widowControl w:val="0"/>
              <w:numPr>
                <w:ilvl w:val="0"/>
                <w:numId w:val="2"/>
              </w:numPr>
              <w:ind w:firstLine="420"/>
              <w:jc w:val="both"/>
              <w:rPr>
                <w:rFonts w:hint="eastAsia"/>
                <w:sz w:val="24"/>
                <w:szCs w:val="24"/>
                <w:lang w:val="en-US" w:eastAsia="zh-CN"/>
              </w:rPr>
            </w:pPr>
            <w:r>
              <w:rPr>
                <w:rFonts w:hint="eastAsia"/>
                <w:sz w:val="24"/>
                <w:szCs w:val="24"/>
                <w:lang w:val="en-US" w:eastAsia="zh-CN"/>
              </w:rPr>
              <w:t>设计最佳教学方案。这涉及到两点：一是精讲。无论是采用归纳法、演绎法或是将归纳法和演绎法结合应用都要考虑如何用简洁明瞭的语言，把问题交代清楚，使学生得到清晰准确的概念，从而将大部分的课堂时间留给学生操练。二是避免促成学生消极地坐等教师讲解，应考虑如何发挥学生的主动性以及思维和表现能力，引导学生在感知新内容的过程中，依靠自己的经验，观察、提问、归纳和独立思维，自己发现知识。</w:t>
            </w:r>
            <w:bookmarkStart w:id="0" w:name="_GoBack"/>
            <w:bookmarkEnd w:id="0"/>
          </w:p>
          <w:p>
            <w:pPr>
              <w:widowControl w:val="0"/>
              <w:numPr>
                <w:numId w:val="0"/>
              </w:numPr>
              <w:jc w:val="both"/>
              <w:rPr>
                <w:rFonts w:hint="eastAsia"/>
                <w:sz w:val="24"/>
                <w:szCs w:val="24"/>
                <w:lang w:val="en-US" w:eastAsia="zh-CN"/>
              </w:rPr>
            </w:pPr>
          </w:p>
          <w:p>
            <w:pPr>
              <w:widowControl w:val="0"/>
              <w:numPr>
                <w:numId w:val="0"/>
              </w:numPr>
              <w:ind w:firstLine="420"/>
              <w:jc w:val="both"/>
              <w:rPr>
                <w:rFonts w:hint="eastAsia"/>
                <w:sz w:val="24"/>
                <w:szCs w:val="24"/>
                <w:lang w:val="en-US" w:eastAsia="zh-CN"/>
              </w:rPr>
            </w:pPr>
            <w:r>
              <w:rPr>
                <w:rFonts w:hint="eastAsia"/>
                <w:sz w:val="24"/>
                <w:szCs w:val="24"/>
                <w:lang w:val="en-US" w:eastAsia="zh-CN"/>
              </w:rPr>
              <w:t>5．拟定课堂教学中的各个环节、各个步骤之间的衔接和过渡。通过恰当的起承转合把一堂课中的各项教学活动汇为有机的、和谐的整体，自然顺畅地达到预定的教学目的。</w:t>
            </w:r>
          </w:p>
          <w:p>
            <w:pPr>
              <w:widowControl w:val="0"/>
              <w:numPr>
                <w:numId w:val="0"/>
              </w:numPr>
              <w:ind w:firstLine="420"/>
              <w:jc w:val="both"/>
              <w:rPr>
                <w:rFonts w:hint="eastAsia"/>
                <w:sz w:val="24"/>
                <w:szCs w:val="24"/>
                <w:lang w:val="en-US" w:eastAsia="zh-CN"/>
              </w:rPr>
            </w:pPr>
          </w:p>
          <w:p>
            <w:pPr>
              <w:widowControl w:val="0"/>
              <w:numPr>
                <w:numId w:val="0"/>
              </w:numPr>
              <w:ind w:firstLine="420"/>
              <w:jc w:val="both"/>
              <w:rPr>
                <w:rFonts w:hint="eastAsia"/>
                <w:sz w:val="24"/>
                <w:szCs w:val="24"/>
                <w:lang w:val="en-US" w:eastAsia="zh-CN"/>
              </w:rPr>
            </w:pPr>
            <w:r>
              <w:rPr>
                <w:rFonts w:hint="eastAsia"/>
                <w:sz w:val="24"/>
                <w:szCs w:val="24"/>
                <w:lang w:val="en-US" w:eastAsia="zh-CN"/>
              </w:rPr>
              <w:t>6．选择并准备必需的教具。有了对备课的重新认识，现在的我会更用心去备好每一节课，让自己的课堂变得更加精彩，让我们的学生更加喜欢学英语!</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0" w:hRule="atLeast"/>
        </w:trPr>
        <w:tc>
          <w:tcPr>
            <w:tcW w:w="8522" w:type="dxa"/>
            <w:gridSpan w:val="4"/>
          </w:tcPr>
          <w:p>
            <w:pPr>
              <w:rPr>
                <w:rFonts w:hint="eastAsia" w:eastAsia="宋体"/>
                <w:lang w:eastAsia="zh-CN"/>
              </w:rPr>
            </w:pPr>
          </w:p>
        </w:tc>
      </w:tr>
    </w:tbl>
    <w:p/>
    <w:p/>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8" w:hRule="atLeast"/>
        </w:trPr>
        <w:tc>
          <w:tcPr>
            <w:tcW w:w="8522" w:type="dxa"/>
          </w:tcPr>
          <w:p>
            <w:r>
              <w:rPr>
                <w:rFonts w:hint="eastAsia" w:ascii="宋体" w:hAnsi="宋体" w:cs="宋体"/>
                <w:kern w:val="0"/>
                <w:sz w:val="24"/>
                <w:shd w:val="clear" w:color="auto" w:fill="FFFFFF"/>
              </w:rPr>
              <w:t xml:space="preserve">   </w:t>
            </w:r>
          </w:p>
          <w:p/>
          <w:p/>
          <w:p/>
          <w:p/>
          <w:p/>
          <w:p/>
          <w:p/>
          <w:p/>
          <w:p/>
          <w:p/>
          <w:p/>
          <w:p/>
          <w:p/>
          <w:p/>
          <w:p/>
          <w:p/>
          <w:p/>
          <w:p/>
          <w:p/>
          <w:p/>
          <w:p/>
          <w:p/>
          <w:p/>
          <w:p/>
          <w:p/>
          <w:p/>
          <w:p/>
          <w:p/>
          <w:p/>
          <w:p/>
          <w:p/>
          <w:p/>
        </w:tc>
      </w:tr>
    </w:tbl>
    <w:p>
      <w:pPr>
        <w:rPr>
          <w:rFonts w:hint="eastAsia" w:eastAsia="宋体"/>
          <w:lang w:eastAsia="zh-CN"/>
        </w:rPr>
      </w:pPr>
      <w:r>
        <w:rPr>
          <w:rFonts w:hint="eastAsia"/>
          <w:lang w:eastAsia="zh-CN"/>
        </w:rPr>
        <w:t>正文采用宋体小四号（正反）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1D739"/>
    <w:multiLevelType w:val="singleLevel"/>
    <w:tmpl w:val="5AA1D739"/>
    <w:lvl w:ilvl="0" w:tentative="0">
      <w:start w:val="1"/>
      <w:numFmt w:val="decimal"/>
      <w:suff w:val="nothing"/>
      <w:lvlText w:val="%1．"/>
      <w:lvlJc w:val="left"/>
    </w:lvl>
  </w:abstractNum>
  <w:abstractNum w:abstractNumId="1">
    <w:nsid w:val="5AA1D774"/>
    <w:multiLevelType w:val="singleLevel"/>
    <w:tmpl w:val="5AA1D774"/>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469E3"/>
    <w:rsid w:val="00090348"/>
    <w:rsid w:val="0068258D"/>
    <w:rsid w:val="00701CCC"/>
    <w:rsid w:val="009A5B5F"/>
    <w:rsid w:val="00A96827"/>
    <w:rsid w:val="00D469E3"/>
    <w:rsid w:val="02B365C0"/>
    <w:rsid w:val="07FB2398"/>
    <w:rsid w:val="08912EE7"/>
    <w:rsid w:val="0DF63A13"/>
    <w:rsid w:val="17AA03D0"/>
    <w:rsid w:val="18EC1178"/>
    <w:rsid w:val="1979308A"/>
    <w:rsid w:val="1CAA00B7"/>
    <w:rsid w:val="1FDA650B"/>
    <w:rsid w:val="217B1375"/>
    <w:rsid w:val="23955BFD"/>
    <w:rsid w:val="247A72E5"/>
    <w:rsid w:val="2809283E"/>
    <w:rsid w:val="28D81BA0"/>
    <w:rsid w:val="2992310B"/>
    <w:rsid w:val="2BF52143"/>
    <w:rsid w:val="316F544C"/>
    <w:rsid w:val="3CE6019D"/>
    <w:rsid w:val="407A17AC"/>
    <w:rsid w:val="418011B1"/>
    <w:rsid w:val="41D96C61"/>
    <w:rsid w:val="424565F4"/>
    <w:rsid w:val="457E14D7"/>
    <w:rsid w:val="487F121B"/>
    <w:rsid w:val="49055E77"/>
    <w:rsid w:val="4CE51668"/>
    <w:rsid w:val="4E9F4E6A"/>
    <w:rsid w:val="4FBD23B9"/>
    <w:rsid w:val="52A11EB7"/>
    <w:rsid w:val="53934A86"/>
    <w:rsid w:val="5817731B"/>
    <w:rsid w:val="5C94448A"/>
    <w:rsid w:val="5CD84FE3"/>
    <w:rsid w:val="5E7849C9"/>
    <w:rsid w:val="60111267"/>
    <w:rsid w:val="64892573"/>
    <w:rsid w:val="66D46C6B"/>
    <w:rsid w:val="67607C72"/>
    <w:rsid w:val="67BD7034"/>
    <w:rsid w:val="67DB6D38"/>
    <w:rsid w:val="6D443364"/>
    <w:rsid w:val="6E1E0D8D"/>
    <w:rsid w:val="71BF73D9"/>
    <w:rsid w:val="720617C5"/>
    <w:rsid w:val="77AF3538"/>
    <w:rsid w:val="7D625502"/>
    <w:rsid w:val="7EB67016"/>
    <w:rsid w:val="7F3470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character" w:styleId="6">
    <w:name w:val="Strong"/>
    <w:basedOn w:val="5"/>
    <w:qFormat/>
    <w:uiPriority w:val="22"/>
    <w:rPr>
      <w:b/>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Words>
  <Characters>32</Characters>
  <Lines>1</Lines>
  <Paragraphs>1</Paragraphs>
  <ScaleCrop>false</ScaleCrop>
  <LinksUpToDate>false</LinksUpToDate>
  <CharactersWithSpaces>36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2017-08-25T01:00:00Z</dcterms:created>
  <dc:creator>ying zhuang</dc:creator>
  <cp:lastModifiedBy>G3</cp:lastModifiedBy>
  <dcterms:modified xsi:type="dcterms:W3CDTF">2018-03-09T00:38:27Z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